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F782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423F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CF688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1423F5" w:rsidRDefault="009959E8" w:rsidP="00DC2FFA">
      <w:pPr>
        <w:pStyle w:val="a8"/>
        <w:rPr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6F782C" w:rsidRDefault="006F782C" w:rsidP="006F782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6F782C" w:rsidRPr="009C19AD" w:rsidRDefault="006F782C" w:rsidP="006F782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DC2FFA" w:rsidRDefault="00DC2FFA" w:rsidP="006F782C">
      <w:pPr>
        <w:pStyle w:val="a8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</w:p>
    <w:p w:rsidR="00DC2FFA" w:rsidRPr="00491FE8" w:rsidRDefault="00DC2FFA" w:rsidP="00DC2FF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6F782C" w:rsidRPr="006F782C" w:rsidRDefault="006F782C" w:rsidP="00056115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6F782C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6F782C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</w:t>
      </w:r>
      <w:r w:rsidR="00056115">
        <w:rPr>
          <w:szCs w:val="28"/>
          <w:lang w:val="uk-UA"/>
        </w:rPr>
        <w:t>ів України від 26.08.2014 № 836</w:t>
      </w:r>
      <w:r w:rsidRPr="006F782C">
        <w:rPr>
          <w:szCs w:val="28"/>
          <w:lang w:val="uk-UA"/>
        </w:rPr>
        <w:t xml:space="preserve"> «П</w:t>
      </w:r>
      <w:r w:rsidR="00056115">
        <w:rPr>
          <w:szCs w:val="28"/>
          <w:lang w:val="uk-UA"/>
        </w:rPr>
        <w:t xml:space="preserve">ро деякі питання запровадження </w:t>
      </w:r>
      <w:r w:rsidRPr="006F782C">
        <w:rPr>
          <w:szCs w:val="28"/>
          <w:lang w:val="uk-UA"/>
        </w:rPr>
        <w:t>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згідно рішення тринадцятої</w:t>
      </w:r>
      <w:r w:rsidR="00056115">
        <w:rPr>
          <w:szCs w:val="28"/>
          <w:lang w:val="uk-UA"/>
        </w:rPr>
        <w:t xml:space="preserve"> сесії </w:t>
      </w:r>
      <w:r w:rsidRPr="006F782C">
        <w:rPr>
          <w:szCs w:val="28"/>
          <w:lang w:val="uk-UA"/>
        </w:rPr>
        <w:t>Срібнянської селищної ради восьмого скликання від 24.12.2021 «Про внесення змін до рішення другої сесії селищної ради восьмого скликання від 23.12.2020 «Про місцеви</w:t>
      </w:r>
      <w:r w:rsidR="00056115">
        <w:rPr>
          <w:szCs w:val="28"/>
          <w:lang w:val="uk-UA"/>
        </w:rPr>
        <w:t>й</w:t>
      </w:r>
      <w:r w:rsidRPr="006F782C">
        <w:rPr>
          <w:szCs w:val="28"/>
          <w:lang w:val="uk-UA"/>
        </w:rPr>
        <w:t xml:space="preserve"> бюджет Срібнянської селищної територіальної громади  на 2021 рік»(код бюджету 25530000000), </w:t>
      </w:r>
      <w:r w:rsidRPr="006F782C">
        <w:rPr>
          <w:b/>
          <w:szCs w:val="28"/>
          <w:lang w:val="uk-UA"/>
        </w:rPr>
        <w:t>зобов’язую</w:t>
      </w:r>
      <w:r w:rsidRPr="006F782C">
        <w:rPr>
          <w:szCs w:val="28"/>
          <w:lang w:val="uk-UA"/>
        </w:rPr>
        <w:t>:</w:t>
      </w:r>
    </w:p>
    <w:p w:rsidR="006F782C" w:rsidRDefault="006F782C" w:rsidP="006F782C">
      <w:pPr>
        <w:ind w:firstLine="708"/>
        <w:jc w:val="both"/>
        <w:rPr>
          <w:iCs/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6F782C" w:rsidRDefault="006F782C" w:rsidP="006F782C">
      <w:pPr>
        <w:ind w:firstLine="709"/>
        <w:jc w:val="both"/>
        <w:rPr>
          <w:bCs/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0150 </w:t>
      </w:r>
      <w:r>
        <w:rPr>
          <w:bCs/>
          <w:sz w:val="28"/>
          <w:szCs w:val="28"/>
          <w:lang w:val="uk-UA"/>
        </w:rPr>
        <w:t>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КПКВК 0110180 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КПКВК 0112010 «</w:t>
      </w:r>
      <w:r w:rsidRPr="0042129F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0112111 «</w:t>
      </w:r>
      <w:r w:rsidRPr="0042129F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КПКВК 0113032 «</w:t>
      </w:r>
      <w:r w:rsidRPr="00786135">
        <w:rPr>
          <w:sz w:val="28"/>
          <w:szCs w:val="28"/>
          <w:lang w:val="uk-UA"/>
        </w:rPr>
        <w:t>Надання пільг окремим категоріям громадян з оплати послуг зв`язку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КПКВК 0113112 «</w:t>
      </w:r>
      <w:r w:rsidRPr="0074231B">
        <w:rPr>
          <w:sz w:val="28"/>
          <w:szCs w:val="28"/>
          <w:lang w:val="uk-UA"/>
        </w:rPr>
        <w:t>Заходи державної політики з питань дітей та їх соціального захисту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КПКВК 0116020 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6030 «</w:t>
      </w:r>
      <w:r w:rsidRPr="0042129F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6F782C" w:rsidRDefault="006F782C" w:rsidP="006F782C">
      <w:pPr>
        <w:ind w:firstLine="567"/>
        <w:jc w:val="both"/>
        <w:rPr>
          <w:bCs/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1.10. </w:t>
      </w:r>
      <w:r>
        <w:rPr>
          <w:sz w:val="28"/>
          <w:szCs w:val="28"/>
          <w:lang w:val="uk-UA"/>
        </w:rPr>
        <w:t>КПКВК 0118230 «</w:t>
      </w:r>
      <w:r w:rsidRPr="00AD36A8">
        <w:rPr>
          <w:sz w:val="28"/>
          <w:szCs w:val="28"/>
          <w:lang w:val="uk-UA"/>
        </w:rPr>
        <w:t>Інші заходи громадського порядку та безпеки</w:t>
      </w:r>
      <w:r>
        <w:rPr>
          <w:sz w:val="28"/>
          <w:szCs w:val="28"/>
          <w:lang w:val="uk-UA"/>
        </w:rPr>
        <w:t>».</w:t>
      </w:r>
    </w:p>
    <w:p w:rsidR="006F782C" w:rsidRDefault="006F782C" w:rsidP="006F782C">
      <w:pPr>
        <w:ind w:firstLine="567"/>
        <w:jc w:val="both"/>
        <w:rPr>
          <w:bCs/>
          <w:sz w:val="28"/>
          <w:szCs w:val="28"/>
          <w:lang w:val="uk-UA"/>
        </w:rPr>
      </w:pPr>
    </w:p>
    <w:p w:rsidR="006F782C" w:rsidRDefault="006F782C" w:rsidP="006F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6F782C" w:rsidRDefault="006F782C" w:rsidP="006F782C">
      <w:pPr>
        <w:jc w:val="both"/>
        <w:rPr>
          <w:sz w:val="28"/>
          <w:szCs w:val="28"/>
          <w:lang w:val="uk-UA"/>
        </w:rPr>
      </w:pPr>
    </w:p>
    <w:p w:rsidR="001423F5" w:rsidRDefault="001423F5" w:rsidP="001423F5">
      <w:pPr>
        <w:jc w:val="both"/>
        <w:rPr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F6" w:rsidRDefault="00E93DF6" w:rsidP="00C9463F">
      <w:r>
        <w:separator/>
      </w:r>
    </w:p>
  </w:endnote>
  <w:endnote w:type="continuationSeparator" w:id="0">
    <w:p w:rsidR="00E93DF6" w:rsidRDefault="00E93DF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F6" w:rsidRDefault="00E93DF6" w:rsidP="00C9463F">
      <w:r>
        <w:separator/>
      </w:r>
    </w:p>
  </w:footnote>
  <w:footnote w:type="continuationSeparator" w:id="0">
    <w:p w:rsidR="00E93DF6" w:rsidRDefault="00E93DF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AE5DF4">
    <w:pPr>
      <w:pStyle w:val="af"/>
      <w:jc w:val="center"/>
    </w:pPr>
    <w:fldSimple w:instr="PAGE   \* MERGEFORMAT">
      <w:r w:rsidR="00841B32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0365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2021-12-28T08:55:00Z</cp:lastPrinted>
  <dcterms:created xsi:type="dcterms:W3CDTF">2021-12-28T07:26:00Z</dcterms:created>
  <dcterms:modified xsi:type="dcterms:W3CDTF">2021-12-28T08:56:00Z</dcterms:modified>
</cp:coreProperties>
</file>